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ED" w:rsidRDefault="002E32F2">
      <w:pPr>
        <w:spacing w:after="0"/>
        <w:ind w:left="259" w:right="40"/>
      </w:pPr>
      <w:r>
        <w:rPr>
          <w:rFonts w:ascii="Garamond" w:eastAsia="Garamond" w:hAnsi="Garamond" w:cs="Garamond"/>
          <w:sz w:val="24"/>
        </w:rPr>
        <w:t xml:space="preserve">La Commissione assegna fino ad un massimo di quaranta punti, tenendo a riferimento indicatori, livelli, descrittori e punteggi di seguito indicati. </w:t>
      </w:r>
    </w:p>
    <w:tbl>
      <w:tblPr>
        <w:tblStyle w:val="TableGrid"/>
        <w:tblW w:w="14518" w:type="dxa"/>
        <w:tblInd w:w="-315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1935"/>
        <w:gridCol w:w="507"/>
        <w:gridCol w:w="10516"/>
        <w:gridCol w:w="569"/>
        <w:gridCol w:w="991"/>
      </w:tblGrid>
      <w:tr w:rsidR="007335ED">
        <w:trPr>
          <w:trHeight w:val="368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335ED" w:rsidRDefault="002E32F2">
            <w:pPr>
              <w:ind w:right="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Indicatori  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:rsidR="007335ED" w:rsidRDefault="002E32F2">
            <w:pPr>
              <w:ind w:left="10"/>
              <w:jc w:val="both"/>
            </w:pPr>
            <w:r>
              <w:rPr>
                <w:rFonts w:ascii="Garamond" w:eastAsia="Garamond" w:hAnsi="Garamond" w:cs="Garamond"/>
                <w:b/>
                <w:sz w:val="18"/>
              </w:rPr>
              <w:t>Livelli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335ED" w:rsidRDefault="002E32F2">
            <w:pPr>
              <w:tabs>
                <w:tab w:val="center" w:pos="5261"/>
              </w:tabs>
              <w:ind w:left="-12"/>
            </w:pPr>
            <w:r>
              <w:rPr>
                <w:rFonts w:ascii="Garamond" w:eastAsia="Garamond" w:hAnsi="Garamond" w:cs="Garamond"/>
                <w:b/>
                <w:sz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</w:rPr>
              <w:tab/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Descrittori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:rsidR="007335ED" w:rsidRDefault="002E32F2">
            <w:pPr>
              <w:ind w:left="74"/>
              <w:jc w:val="both"/>
            </w:pPr>
            <w:r>
              <w:rPr>
                <w:rFonts w:ascii="Garamond" w:eastAsia="Garamond" w:hAnsi="Garamond" w:cs="Garamond"/>
                <w:b/>
                <w:sz w:val="18"/>
              </w:rPr>
              <w:t xml:space="preserve">Punti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:rsidR="007335ED" w:rsidRDefault="002E32F2">
            <w:pPr>
              <w:ind w:left="101"/>
            </w:pPr>
            <w:r>
              <w:rPr>
                <w:rFonts w:ascii="Garamond" w:eastAsia="Garamond" w:hAnsi="Garamond" w:cs="Garamond"/>
                <w:b/>
                <w:sz w:val="18"/>
              </w:rPr>
              <w:t xml:space="preserve">Punteggio </w:t>
            </w:r>
          </w:p>
        </w:tc>
      </w:tr>
      <w:tr w:rsidR="007335ED">
        <w:trPr>
          <w:trHeight w:val="264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7"/>
            </w:pPr>
            <w:r>
              <w:rPr>
                <w:rFonts w:ascii="Garamond" w:eastAsia="Garamond" w:hAnsi="Garamond" w:cs="Garamond"/>
                <w:sz w:val="18"/>
              </w:rPr>
              <w:t xml:space="preserve">Acquisizione dei contenuti e dei metodi delle diverse discipline del curricolo, con particolare riferimento a quelle d’indirizzo 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I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Non ha acquisito i contenuti e i metodi delle diverse discipline, o li ha acquisiti in modo estremamente frammentario e lacunoso.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1-2 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5ED" w:rsidRDefault="002E32F2">
            <w:pPr>
              <w:ind w:left="48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</w:tr>
      <w:tr w:rsidR="007335E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2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II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Ha acquisito i contenuti e i metodi delle diverse discipline in modo parziale e incompleto, utilizzandoli in modo non sempre appropriato.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3-5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-14"/>
            </w:pPr>
            <w:r>
              <w:rPr>
                <w:rFonts w:ascii="Garamond" w:eastAsia="Garamond" w:hAnsi="Garamond" w:cs="Garamond"/>
                <w:sz w:val="28"/>
                <w:vertAlign w:val="superscript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</w:rPr>
              <w:t xml:space="preserve">III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Ha acquisito i contenuti e utilizza i metodi delle diverse discipline in modo corretto e appropriato.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6-7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2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IV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Ha acquisito i contenuti delle diverse discipline in maniera completa e utilizza in modo consapevole i loro metodi.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8-9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V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Ha acquisito i contenuti delle diverse discipline in maniera completa e approfondita e utilizza con piena padronanza i loro metodi.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1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90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7"/>
            </w:pPr>
            <w:r>
              <w:rPr>
                <w:rFonts w:ascii="Garamond" w:eastAsia="Garamond" w:hAnsi="Garamond" w:cs="Garamond"/>
                <w:sz w:val="18"/>
              </w:rPr>
              <w:t>Capacità di utilizzare le conoscenze acquisite e di collegarle tra loro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Non è in grado di utilizzare e collegare le conoscenze acquisite o lo fa in modo del tutto inadeguato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1-2 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5ED" w:rsidRDefault="002E32F2">
            <w:pPr>
              <w:ind w:left="48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</w:tr>
      <w:tr w:rsidR="007335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utilizzare e collegare le conoscenze acquisite con difficoltà e in modo stentato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3-5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utilizzare correttamente le conoscenze acquisite, istituendo adeguati collegamenti tra le discipline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6-7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66"/>
            </w:pPr>
            <w:r>
              <w:rPr>
                <w:rFonts w:ascii="Garamond" w:eastAsia="Garamond" w:hAnsi="Garamond" w:cs="Garamond"/>
                <w:sz w:val="16"/>
              </w:rPr>
              <w:t>IV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utilizzare le conoscenze acquisite collegandole in una trattazione pluridisciplinare articolata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8-9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 xml:space="preserve">V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utilizzare le conoscenze acquisite collegandole in una trattazione pluridisciplinare ampia e approfondita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1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54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7"/>
            </w:pPr>
            <w:r>
              <w:rPr>
                <w:rFonts w:ascii="Garamond" w:eastAsia="Garamond" w:hAnsi="Garamond" w:cs="Garamond"/>
                <w:sz w:val="18"/>
              </w:rPr>
              <w:t>Capacità di argomentare in maniera critica e personale, rielaborando i contenuti acquisiti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Non è in grado di argomentare in maniera critica e personale, o argomenta in modo superficiale e disorganico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1-2 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5ED" w:rsidRDefault="002E32F2">
            <w:pPr>
              <w:ind w:left="48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</w:tr>
      <w:tr w:rsidR="007335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>È in grado di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</w:rPr>
              <w:t>formulare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</w:rPr>
              <w:t>argomentazioni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</w:rPr>
              <w:t xml:space="preserve">critiche e personali solo a tratti e solo in relazione a specifici argomenti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3-5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formulare semplici argomentazioni critiche e personali, con una corretta rielaborazione dei contenuti acquisiti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6-7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66"/>
            </w:pPr>
            <w:r>
              <w:rPr>
                <w:rFonts w:ascii="Garamond" w:eastAsia="Garamond" w:hAnsi="Garamond" w:cs="Garamond"/>
                <w:sz w:val="16"/>
              </w:rPr>
              <w:t>IV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formulare articolate argomentazioni critiche e personali, rielaborando efficacemente i contenuti acquisiti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8-9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 xml:space="preserve">V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È in </w:t>
            </w:r>
            <w:proofErr w:type="gramStart"/>
            <w:r>
              <w:rPr>
                <w:rFonts w:ascii="Garamond" w:eastAsia="Garamond" w:hAnsi="Garamond" w:cs="Garamond"/>
                <w:sz w:val="18"/>
              </w:rPr>
              <w:t xml:space="preserve">grado 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</w:rPr>
              <w:t>di</w:t>
            </w:r>
            <w:proofErr w:type="gramEnd"/>
            <w:r>
              <w:rPr>
                <w:rFonts w:ascii="Garamond" w:eastAsia="Garamond" w:hAnsi="Garamond" w:cs="Garamond"/>
                <w:sz w:val="18"/>
              </w:rPr>
              <w:t xml:space="preserve"> formulare ampie e articolate argomentazioni critiche e personali , rielaborando con originalità i contenuti acquisiti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1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26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7"/>
            </w:pPr>
            <w:r>
              <w:rPr>
                <w:rFonts w:ascii="Garamond" w:eastAsia="Garamond" w:hAnsi="Garamond" w:cs="Garamond"/>
                <w:sz w:val="18"/>
              </w:rPr>
              <w:t>Ricchezza e padronanza lessicale e semantica, con specifico riferimento al linguaggio tecnico e/o di settore, anche in lingua straniera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Si esprime in modo scorretto o stentato, utilizzando un </w:t>
            </w:r>
            <w:proofErr w:type="gramStart"/>
            <w:r>
              <w:rPr>
                <w:rFonts w:ascii="Garamond" w:eastAsia="Garamond" w:hAnsi="Garamond" w:cs="Garamond"/>
                <w:sz w:val="18"/>
              </w:rPr>
              <w:t>lessico  inadeguato</w:t>
            </w:r>
            <w:proofErr w:type="gramEnd"/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 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5ED" w:rsidRDefault="002E32F2">
            <w:pPr>
              <w:ind w:left="48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</w:tr>
      <w:tr w:rsidR="007335ED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Si esprime in modo non sempre corretto, utilizzando un lessico, anche di settore, parzialmente adeguato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Si esprime in modo corretto utilizzando un lessico adeguato, anche in riferimento al linguaggio tecnico e/o di settore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66"/>
            </w:pPr>
            <w:r>
              <w:rPr>
                <w:rFonts w:ascii="Garamond" w:eastAsia="Garamond" w:hAnsi="Garamond" w:cs="Garamond"/>
                <w:sz w:val="16"/>
              </w:rPr>
              <w:t>IV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Si esprime in modo preciso e accurato utilizzando un lessico, anche tecnico e settoriale, vario e articolato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 xml:space="preserve">V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Si esprime con ricchezza e piena padronanza lessicale e semantica, anche in riferimento al linguaggio tecnico e/o di settore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26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7"/>
            </w:pPr>
            <w:r>
              <w:rPr>
                <w:rFonts w:ascii="Garamond" w:eastAsia="Garamond" w:hAnsi="Garamond" w:cs="Garamond"/>
                <w:sz w:val="18"/>
              </w:rPr>
              <w:t xml:space="preserve">Capacità di analisi </w:t>
            </w:r>
            <w:proofErr w:type="gramStart"/>
            <w:r>
              <w:rPr>
                <w:rFonts w:ascii="Garamond" w:eastAsia="Garamond" w:hAnsi="Garamond" w:cs="Garamond"/>
                <w:sz w:val="18"/>
              </w:rPr>
              <w:t>e  comprensione</w:t>
            </w:r>
            <w:proofErr w:type="gramEnd"/>
            <w:r>
              <w:rPr>
                <w:rFonts w:ascii="Garamond" w:eastAsia="Garamond" w:hAnsi="Garamond" w:cs="Garamond"/>
                <w:sz w:val="18"/>
              </w:rPr>
              <w:t xml:space="preserve"> della realtà in chiave di cittadinanza attiva a partire dalla riflessione sulle esperienze personali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Non è in grado di analizzare e comprendere la realtà a partire dalla riflessione sulle proprie esperienze, o lo fa in modo inadeguato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 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5ED" w:rsidRDefault="002E32F2">
            <w:pPr>
              <w:ind w:left="48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</w:tr>
      <w:tr w:rsidR="007335ED">
        <w:trPr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analizzare e comprendere la realtà a partire dalla riflessione sulle proprie esperienze con difficoltà e solo se guidato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35ED" w:rsidRDefault="002E32F2">
            <w:pPr>
              <w:ind w:lef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compiere un’analisi adeguata della realtà sulla base di una corretta riflessione sulle proprie esperienze personali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66"/>
            </w:pPr>
            <w:r>
              <w:rPr>
                <w:rFonts w:ascii="Garamond" w:eastAsia="Garamond" w:hAnsi="Garamond" w:cs="Garamond"/>
                <w:sz w:val="16"/>
              </w:rPr>
              <w:t>IV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compiere un’analisi precisa della realtà sulla base di una attenta riflessione sulle proprie esperienze personali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7335E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2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 xml:space="preserve">V </w:t>
            </w:r>
          </w:p>
        </w:tc>
        <w:tc>
          <w:tcPr>
            <w:tcW w:w="10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10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compiere un’analisi approfondita della realtà sulla base di una riflessione </w:t>
            </w:r>
            <w:proofErr w:type="gramStart"/>
            <w:r>
              <w:rPr>
                <w:rFonts w:ascii="Garamond" w:eastAsia="Garamond" w:hAnsi="Garamond" w:cs="Garamond"/>
                <w:sz w:val="18"/>
              </w:rPr>
              <w:t>critica  e</w:t>
            </w:r>
            <w:proofErr w:type="gramEnd"/>
            <w:r>
              <w:rPr>
                <w:rFonts w:ascii="Garamond" w:eastAsia="Garamond" w:hAnsi="Garamond" w:cs="Garamond"/>
                <w:sz w:val="18"/>
              </w:rPr>
              <w:t xml:space="preserve"> consapevole sulle proprie esperienze personali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7335ED"/>
        </w:tc>
      </w:tr>
      <w:tr w:rsidR="007335ED">
        <w:trPr>
          <w:trHeight w:val="461"/>
        </w:trPr>
        <w:tc>
          <w:tcPr>
            <w:tcW w:w="13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5ED" w:rsidRDefault="002E32F2">
            <w:pPr>
              <w:ind w:right="4"/>
              <w:jc w:val="center"/>
            </w:pPr>
            <w:r>
              <w:rPr>
                <w:rFonts w:ascii="Garamond" w:eastAsia="Garamond" w:hAnsi="Garamond" w:cs="Garamond"/>
                <w:b/>
              </w:rPr>
              <w:t xml:space="preserve">Punteggio totale della prova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5ED" w:rsidRDefault="002E32F2">
            <w:pPr>
              <w:ind w:left="91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 xml:space="preserve"> 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</w:tr>
    </w:tbl>
    <w:p w:rsidR="00A10DFD" w:rsidRDefault="00A10DFD"/>
    <w:sectPr w:rsidR="00A10DFD" w:rsidSect="002E3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2F2" w:rsidRDefault="002E32F2" w:rsidP="002E32F2">
      <w:pPr>
        <w:spacing w:after="0" w:line="240" w:lineRule="auto"/>
      </w:pPr>
      <w:r>
        <w:separator/>
      </w:r>
    </w:p>
  </w:endnote>
  <w:endnote w:type="continuationSeparator" w:id="0">
    <w:p w:rsidR="002E32F2" w:rsidRDefault="002E32F2" w:rsidP="002E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2EA" w:rsidRDefault="007F42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2"/>
      <w:gridCol w:w="1993"/>
      <w:gridCol w:w="1993"/>
      <w:gridCol w:w="1993"/>
      <w:gridCol w:w="1993"/>
      <w:gridCol w:w="1993"/>
      <w:gridCol w:w="1993"/>
    </w:tblGrid>
    <w:tr w:rsidR="002E32F2" w:rsidRPr="002E32F2" w:rsidTr="002E32F2">
      <w:trPr>
        <w:trHeight w:val="397"/>
      </w:trPr>
      <w:tc>
        <w:tcPr>
          <w:tcW w:w="1992" w:type="dxa"/>
          <w:tcBorders>
            <w:bottom w:val="single" w:sz="4" w:space="0" w:color="auto"/>
          </w:tcBorders>
        </w:tcPr>
        <w:p w:rsidR="002E32F2" w:rsidRDefault="002E32F2">
          <w:pPr>
            <w:pStyle w:val="Pidipagina"/>
          </w:pPr>
        </w:p>
      </w:tc>
      <w:tc>
        <w:tcPr>
          <w:tcW w:w="1993" w:type="dxa"/>
        </w:tcPr>
        <w:p w:rsidR="002E32F2" w:rsidRDefault="002E32F2">
          <w:pPr>
            <w:pStyle w:val="Pidipagina"/>
          </w:pPr>
        </w:p>
      </w:tc>
      <w:tc>
        <w:tcPr>
          <w:tcW w:w="1993" w:type="dxa"/>
          <w:tcBorders>
            <w:bottom w:val="single" w:sz="4" w:space="0" w:color="auto"/>
          </w:tcBorders>
        </w:tcPr>
        <w:p w:rsidR="002E32F2" w:rsidRDefault="002E32F2">
          <w:pPr>
            <w:pStyle w:val="Pidipagina"/>
          </w:pPr>
        </w:p>
      </w:tc>
      <w:tc>
        <w:tcPr>
          <w:tcW w:w="1993" w:type="dxa"/>
        </w:tcPr>
        <w:p w:rsidR="002E32F2" w:rsidRDefault="002E32F2">
          <w:pPr>
            <w:pStyle w:val="Pidipagina"/>
          </w:pPr>
        </w:p>
      </w:tc>
      <w:tc>
        <w:tcPr>
          <w:tcW w:w="1993" w:type="dxa"/>
          <w:tcBorders>
            <w:bottom w:val="single" w:sz="4" w:space="0" w:color="auto"/>
          </w:tcBorders>
        </w:tcPr>
        <w:p w:rsidR="002E32F2" w:rsidRDefault="002E32F2">
          <w:pPr>
            <w:pStyle w:val="Pidipagina"/>
          </w:pPr>
        </w:p>
      </w:tc>
      <w:tc>
        <w:tcPr>
          <w:tcW w:w="1993" w:type="dxa"/>
        </w:tcPr>
        <w:p w:rsidR="002E32F2" w:rsidRDefault="002E32F2">
          <w:pPr>
            <w:pStyle w:val="Pidipagina"/>
          </w:pPr>
        </w:p>
      </w:tc>
      <w:tc>
        <w:tcPr>
          <w:tcW w:w="1993" w:type="dxa"/>
        </w:tcPr>
        <w:p w:rsidR="002E32F2" w:rsidRPr="002E32F2" w:rsidRDefault="002E32F2" w:rsidP="002E32F2">
          <w:pPr>
            <w:pStyle w:val="Pidipagina"/>
            <w:jc w:val="center"/>
            <w:rPr>
              <w:rFonts w:ascii="Times New Roman" w:hAnsi="Times New Roman" w:cs="Times New Roman"/>
            </w:rPr>
          </w:pPr>
          <w:r w:rsidRPr="002E32F2">
            <w:rPr>
              <w:rFonts w:ascii="Times New Roman" w:hAnsi="Times New Roman" w:cs="Times New Roman"/>
            </w:rPr>
            <w:t>Il presidente</w:t>
          </w:r>
        </w:p>
      </w:tc>
    </w:tr>
    <w:tr w:rsidR="002E32F2" w:rsidTr="002E32F2">
      <w:trPr>
        <w:trHeight w:val="397"/>
      </w:trPr>
      <w:tc>
        <w:tcPr>
          <w:tcW w:w="1992" w:type="dxa"/>
          <w:tcBorders>
            <w:top w:val="single" w:sz="4" w:space="0" w:color="auto"/>
            <w:bottom w:val="single" w:sz="4" w:space="0" w:color="auto"/>
          </w:tcBorders>
        </w:tcPr>
        <w:p w:rsidR="002E32F2" w:rsidRDefault="002E32F2">
          <w:pPr>
            <w:pStyle w:val="Pidipagina"/>
          </w:pPr>
        </w:p>
      </w:tc>
      <w:tc>
        <w:tcPr>
          <w:tcW w:w="1993" w:type="dxa"/>
        </w:tcPr>
        <w:p w:rsidR="002E32F2" w:rsidRDefault="002E32F2">
          <w:pPr>
            <w:pStyle w:val="Pidipagina"/>
          </w:pPr>
        </w:p>
      </w:tc>
      <w:tc>
        <w:tcPr>
          <w:tcW w:w="1993" w:type="dxa"/>
          <w:tcBorders>
            <w:top w:val="single" w:sz="4" w:space="0" w:color="auto"/>
            <w:bottom w:val="single" w:sz="4" w:space="0" w:color="auto"/>
          </w:tcBorders>
        </w:tcPr>
        <w:p w:rsidR="002E32F2" w:rsidRDefault="002E32F2">
          <w:pPr>
            <w:pStyle w:val="Pidipagina"/>
          </w:pPr>
        </w:p>
      </w:tc>
      <w:tc>
        <w:tcPr>
          <w:tcW w:w="1993" w:type="dxa"/>
        </w:tcPr>
        <w:p w:rsidR="002E32F2" w:rsidRDefault="002E32F2">
          <w:pPr>
            <w:pStyle w:val="Pidipagina"/>
          </w:pPr>
        </w:p>
      </w:tc>
      <w:tc>
        <w:tcPr>
          <w:tcW w:w="1993" w:type="dxa"/>
          <w:tcBorders>
            <w:top w:val="single" w:sz="4" w:space="0" w:color="auto"/>
            <w:bottom w:val="single" w:sz="4" w:space="0" w:color="auto"/>
          </w:tcBorders>
        </w:tcPr>
        <w:p w:rsidR="002E32F2" w:rsidRDefault="002E32F2">
          <w:pPr>
            <w:pStyle w:val="Pidipagina"/>
          </w:pPr>
        </w:p>
      </w:tc>
      <w:tc>
        <w:tcPr>
          <w:tcW w:w="1993" w:type="dxa"/>
        </w:tcPr>
        <w:p w:rsidR="002E32F2" w:rsidRDefault="002E32F2">
          <w:pPr>
            <w:pStyle w:val="Pidipagina"/>
          </w:pPr>
        </w:p>
      </w:tc>
      <w:tc>
        <w:tcPr>
          <w:tcW w:w="1993" w:type="dxa"/>
          <w:tcBorders>
            <w:bottom w:val="single" w:sz="4" w:space="0" w:color="auto"/>
          </w:tcBorders>
        </w:tcPr>
        <w:p w:rsidR="002E32F2" w:rsidRDefault="002E32F2">
          <w:pPr>
            <w:pStyle w:val="Pidipagina"/>
          </w:pPr>
        </w:p>
      </w:tc>
    </w:tr>
  </w:tbl>
  <w:p w:rsidR="002E32F2" w:rsidRDefault="002E32F2" w:rsidP="002E32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2EA" w:rsidRDefault="007F42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2F2" w:rsidRDefault="002E32F2" w:rsidP="002E32F2">
      <w:pPr>
        <w:spacing w:after="0" w:line="240" w:lineRule="auto"/>
      </w:pPr>
      <w:r>
        <w:separator/>
      </w:r>
    </w:p>
  </w:footnote>
  <w:footnote w:type="continuationSeparator" w:id="0">
    <w:p w:rsidR="002E32F2" w:rsidRDefault="002E32F2" w:rsidP="002E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2EA" w:rsidRDefault="007F42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F2" w:rsidRPr="002E32F2" w:rsidRDefault="002E32F2" w:rsidP="002E32F2">
    <w:pPr>
      <w:spacing w:after="97"/>
      <w:ind w:left="-426" w:right="-499"/>
      <w:rPr>
        <w:rFonts w:ascii="Times New Roman" w:hAnsi="Times New Roman" w:cs="Times New Roman"/>
        <w:bCs/>
        <w:sz w:val="18"/>
        <w:szCs w:val="18"/>
      </w:rPr>
    </w:pPr>
    <w:r w:rsidRPr="002E32F2">
      <w:rPr>
        <w:rFonts w:ascii="Times New Roman" w:eastAsia="Garamond" w:hAnsi="Times New Roman" w:cs="Times New Roman"/>
        <w:b/>
        <w:sz w:val="18"/>
        <w:szCs w:val="18"/>
      </w:rPr>
      <w:t xml:space="preserve">Allegato B all’OM10/2020 Griglia di valutazione della prova orale </w:t>
    </w:r>
    <w:r w:rsidRPr="002E32F2">
      <w:rPr>
        <w:rFonts w:ascii="Times New Roman" w:eastAsia="Garamond" w:hAnsi="Times New Roman" w:cs="Times New Roman"/>
        <w:b/>
        <w:sz w:val="18"/>
        <w:szCs w:val="18"/>
      </w:rPr>
      <w:tab/>
    </w:r>
    <w:r w:rsidRPr="002E32F2">
      <w:rPr>
        <w:rFonts w:ascii="Times New Roman" w:eastAsia="Garamond" w:hAnsi="Times New Roman" w:cs="Times New Roman"/>
        <w:b/>
        <w:sz w:val="18"/>
        <w:szCs w:val="18"/>
      </w:rPr>
      <w:tab/>
    </w:r>
    <w:bookmarkStart w:id="0" w:name="_GoBack"/>
    <w:bookmarkEnd w:id="0"/>
  </w:p>
  <w:p w:rsidR="002E32F2" w:rsidRDefault="002E32F2">
    <w:pPr>
      <w:pStyle w:val="Intestazione"/>
    </w:pPr>
    <w:r>
      <w:t xml:space="preserve">Candidato </w:t>
    </w:r>
    <w:r>
      <w:tab/>
      <w:t xml:space="preserve">Classe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2EA" w:rsidRDefault="007F42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ED"/>
    <w:rsid w:val="002E32F2"/>
    <w:rsid w:val="007335ED"/>
    <w:rsid w:val="007F42EA"/>
    <w:rsid w:val="00A1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3DC96-18D7-4A37-BC1A-A545C321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8">
    <w:name w:val="heading 8"/>
    <w:basedOn w:val="Normale"/>
    <w:next w:val="Normale"/>
    <w:link w:val="Titolo8Carattere"/>
    <w:qFormat/>
    <w:rsid w:val="002E32F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E3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2F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E3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2F2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2E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rsid w:val="002E32F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Allegato_B_Griglia_valutazione_orale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Allegato_B_Griglia_valutazione_orale</dc:title>
  <dc:subject/>
  <dc:creator>MI11210</dc:creator>
  <cp:keywords/>
  <cp:lastModifiedBy>Oliviero Barbieri</cp:lastModifiedBy>
  <cp:revision>2</cp:revision>
  <dcterms:created xsi:type="dcterms:W3CDTF">2020-06-14T20:14:00Z</dcterms:created>
  <dcterms:modified xsi:type="dcterms:W3CDTF">2020-06-14T20:14:00Z</dcterms:modified>
</cp:coreProperties>
</file>